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学院二级心理辅导站负责人办公地点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228" w:tblpY="301"/>
        <w:tblOverlap w:val="never"/>
        <w:tblW w:w="7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466"/>
        <w:gridCol w:w="4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王莹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实训楼工程技术中心东侧120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周盛楠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1号教学楼309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2号教学楼429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索艳鹏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2号教学楼131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艺术楼103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曹敬贤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音乐厅204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焦明旭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体育馆205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兰考学院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郭嘉源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立德书院2号宿舍楼105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兰考学院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王珂莹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树德书院6号宿舍楼102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兰考学院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高越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怀德书院101办公室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兰考学院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厚德书院102办公室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24D643BA"/>
    <w:rsid w:val="24D643BA"/>
    <w:rsid w:val="5DF1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2025-10-21T01:16:00Z</dcterms:created>
  <dc:creator>彭月晨</dc:creator>
  <cp:lastModifiedBy>彭月晨</cp:lastModifiedBy>
  <dcterms:modified xsi:type="dcterms:W3CDTF">2025-10-21T01:30:36Z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7B3B8441FD36419B843DF7835DAAEF98_11</vt:lpwstr>
  </property>
</Properties>
</file>